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0D26D2" w14:textId="037D8AB5" w:rsidR="002313CC" w:rsidRPr="002313CC" w:rsidRDefault="002313CC" w:rsidP="002313CC">
      <w:pPr>
        <w:rPr>
          <w:rStyle w:val="Textoennegrita"/>
          <w:rFonts w:ascii="Arial" w:hAnsi="Arial" w:cs="Arial"/>
          <w:b w:val="0"/>
          <w:bCs w:val="0"/>
          <w:sz w:val="20"/>
          <w:szCs w:val="20"/>
        </w:rPr>
      </w:pPr>
      <w:r w:rsidRPr="002313CC">
        <w:rPr>
          <w:rFonts w:ascii="Arial" w:hAnsi="Arial" w:cs="Arial"/>
          <w:sz w:val="20"/>
          <w:szCs w:val="20"/>
        </w:rPr>
        <w:t xml:space="preserve">Oferta exclusiva para afiliados/as trabajadores/as. Otorgamiento del crédito sujeto a evaluación crediticia, límites legales y confirmación de antecedentes de acuerdo con políticas vigentes de Los Héroes. Podrán solicitarse avales u otras garantías y consultarse el Registro Nacional de Deudores de Pensiones Alimenticias. La oferta indicada en esta promoción fue calculada el 24 de febrero de 2025 y no contempla meses de gracia. Valor cuota incluirá un seguro de desgravamen, riesgo cubierto por Seguros de Vida Suramericana S.A. Podrá contratar un seguro voluntario de cesantía. La tasa de interés, CAE y el valor de la cuota pueden variar </w:t>
      </w:r>
      <w:proofErr w:type="gramStart"/>
      <w:r w:rsidRPr="002313CC">
        <w:rPr>
          <w:rFonts w:ascii="Arial" w:hAnsi="Arial" w:cs="Arial"/>
          <w:sz w:val="20"/>
          <w:szCs w:val="20"/>
        </w:rPr>
        <w:t>en relación a</w:t>
      </w:r>
      <w:proofErr w:type="gramEnd"/>
      <w:r w:rsidRPr="002313CC">
        <w:rPr>
          <w:rFonts w:ascii="Arial" w:hAnsi="Arial" w:cs="Arial"/>
          <w:sz w:val="20"/>
          <w:szCs w:val="20"/>
        </w:rPr>
        <w:t xml:space="preserve"> la fecha de contratación, plazo o monto solicitado. Bases y condiciones en </w:t>
      </w:r>
      <w:hyperlink r:id="rId4" w:tgtFrame="_blank" w:tooltip="http://www.losheroes.cl/" w:history="1">
        <w:r w:rsidRPr="002313CC">
          <w:rPr>
            <w:rStyle w:val="Hipervnculo"/>
            <w:rFonts w:ascii="Arial" w:hAnsi="Arial" w:cs="Arial"/>
            <w:sz w:val="20"/>
            <w:szCs w:val="20"/>
          </w:rPr>
          <w:t>www.losheroes.cl</w:t>
        </w:r>
      </w:hyperlink>
      <w:r w:rsidRPr="002313CC">
        <w:rPr>
          <w:rFonts w:ascii="Arial" w:hAnsi="Arial" w:cs="Arial"/>
          <w:sz w:val="20"/>
          <w:szCs w:val="20"/>
        </w:rPr>
        <w:t xml:space="preserve">. Promoción válida entre 24 de febrero 2025 y el 31 de marzo 2025 exclusiva para afiliados/as a Caja Los Héroes que abonen su crédito en Héroes Prepago. Se sortearán 70 premios de $100.000. Esta promoción requiere que la cuenta Héroes Prepago se mantenga activa y sin bloqueos. No se realizarán entregas de dinero en efectivo en las sucursales de Los Héroes. Máximo un (1) abono por cliente. Las labores de promoción están amparadas en el artículo 19 </w:t>
      </w:r>
      <w:proofErr w:type="spellStart"/>
      <w:r w:rsidRPr="002313CC">
        <w:rPr>
          <w:rFonts w:ascii="Arial" w:hAnsi="Arial" w:cs="Arial"/>
          <w:sz w:val="20"/>
          <w:szCs w:val="20"/>
        </w:rPr>
        <w:t>Nº</w:t>
      </w:r>
      <w:proofErr w:type="spellEnd"/>
      <w:r w:rsidRPr="002313CC">
        <w:rPr>
          <w:rFonts w:ascii="Arial" w:hAnsi="Arial" w:cs="Arial"/>
          <w:sz w:val="20"/>
          <w:szCs w:val="20"/>
        </w:rPr>
        <w:t xml:space="preserve"> 8 de la Ley 18.833. Los beneficios del programa de prestaciones adicionales del año 2025 se aprueban anualmente y podrán estar sujetos a cambios o modificaciones conforme a lo dispuesto en el D.S. 94 de 1978 del Ministerio del Trabajo y Previsión Social e instrucciones de la Superintendencia de Seguridad Social. Las Cajas de Compensación, entidades de seguridad social, son fiscalizadas por la Superintendencia de Seguridad Social (</w:t>
      </w:r>
      <w:hyperlink r:id="rId5" w:tgtFrame="_blank" w:tooltip="http://www.suseso.cl/" w:history="1">
        <w:r w:rsidRPr="002313CC">
          <w:rPr>
            <w:rStyle w:val="Hipervnculo"/>
            <w:rFonts w:ascii="Arial" w:hAnsi="Arial" w:cs="Arial"/>
            <w:sz w:val="20"/>
            <w:szCs w:val="20"/>
          </w:rPr>
          <w:t>www.suseso.cl</w:t>
        </w:r>
      </w:hyperlink>
      <w:r w:rsidRPr="002313CC">
        <w:rPr>
          <w:rFonts w:ascii="Arial" w:hAnsi="Arial" w:cs="Arial"/>
          <w:sz w:val="20"/>
          <w:szCs w:val="20"/>
        </w:rPr>
        <w:t>).Infórmese sobre las entidades autorizadas para emitir Tarjetas de Pago en el país, quienes se encuentran inscritas en los Registros de Emisores de Tarjetas que lleva la CMF, </w:t>
      </w:r>
      <w:hyperlink r:id="rId6" w:tgtFrame="_blank" w:tooltip="https://www.cmfchile.cl.xn--ivg/" w:history="1">
        <w:r w:rsidRPr="002313CC">
          <w:rPr>
            <w:rStyle w:val="Textoennegrita"/>
            <w:rFonts w:ascii="Arial" w:hAnsi="Arial" w:cs="Arial"/>
            <w:color w:val="0000FF"/>
            <w:sz w:val="20"/>
            <w:szCs w:val="20"/>
            <w:u w:val="single"/>
          </w:rPr>
          <w:t>www.cmfchile.cl.</w:t>
        </w:r>
      </w:hyperlink>
    </w:p>
    <w:p w14:paraId="2CD984F7" w14:textId="059704C8" w:rsidR="002313CC" w:rsidRDefault="002313CC">
      <w:pPr>
        <w:rPr>
          <w:rFonts w:ascii="Arial" w:hAnsi="Arial" w:cs="Arial"/>
          <w:sz w:val="20"/>
          <w:szCs w:val="20"/>
        </w:rPr>
      </w:pPr>
    </w:p>
    <w:p w14:paraId="2B36AC21" w14:textId="77777777" w:rsidR="002313CC" w:rsidRDefault="002313CC">
      <w:pPr>
        <w:rPr>
          <w:rFonts w:ascii="Arial" w:hAnsi="Arial" w:cs="Arial"/>
          <w:sz w:val="20"/>
          <w:szCs w:val="20"/>
        </w:rPr>
      </w:pPr>
    </w:p>
    <w:p w14:paraId="2FA94FFD" w14:textId="77777777" w:rsidR="002313CC" w:rsidRDefault="002313CC">
      <w:pPr>
        <w:rPr>
          <w:rFonts w:ascii="Arial" w:hAnsi="Arial" w:cs="Arial"/>
          <w:sz w:val="20"/>
          <w:szCs w:val="20"/>
        </w:rPr>
      </w:pPr>
    </w:p>
    <w:p w14:paraId="1DB293C4" w14:textId="77777777" w:rsidR="002313CC" w:rsidRDefault="002313CC">
      <w:pPr>
        <w:rPr>
          <w:rStyle w:val="Textoennegrita"/>
          <w:rFonts w:ascii="Arial" w:hAnsi="Arial" w:cs="Arial"/>
          <w:color w:val="0000FF"/>
          <w:sz w:val="20"/>
          <w:szCs w:val="20"/>
          <w:u w:val="single"/>
        </w:rPr>
      </w:pPr>
    </w:p>
    <w:p w14:paraId="10E2AB54" w14:textId="77777777" w:rsidR="002313CC" w:rsidRDefault="002313CC">
      <w:pPr>
        <w:rPr>
          <w:rStyle w:val="Textoennegrita"/>
          <w:rFonts w:ascii="Arial" w:hAnsi="Arial" w:cs="Arial"/>
          <w:color w:val="0000FF"/>
          <w:sz w:val="20"/>
          <w:szCs w:val="20"/>
          <w:u w:val="single"/>
        </w:rPr>
      </w:pPr>
    </w:p>
    <w:p w14:paraId="654154FE" w14:textId="77777777" w:rsidR="002313CC" w:rsidRDefault="002313CC">
      <w:pPr>
        <w:rPr>
          <w:rStyle w:val="Textoennegrita"/>
          <w:rFonts w:ascii="Arial" w:hAnsi="Arial" w:cs="Arial"/>
          <w:color w:val="0000FF"/>
          <w:sz w:val="20"/>
          <w:szCs w:val="20"/>
          <w:u w:val="single"/>
        </w:rPr>
      </w:pPr>
    </w:p>
    <w:p w14:paraId="75F97968" w14:textId="77777777" w:rsidR="002313CC" w:rsidRDefault="002313CC">
      <w:pPr>
        <w:rPr>
          <w:rStyle w:val="Textoennegrita"/>
          <w:rFonts w:ascii="Arial" w:hAnsi="Arial" w:cs="Arial"/>
          <w:color w:val="0000FF"/>
          <w:sz w:val="20"/>
          <w:szCs w:val="20"/>
          <w:u w:val="single"/>
        </w:rPr>
      </w:pPr>
    </w:p>
    <w:p w14:paraId="47890712" w14:textId="77777777" w:rsidR="002313CC" w:rsidRDefault="002313CC">
      <w:pPr>
        <w:rPr>
          <w:rStyle w:val="Textoennegrita"/>
          <w:rFonts w:ascii="Arial" w:hAnsi="Arial" w:cs="Arial"/>
          <w:color w:val="0000FF"/>
          <w:sz w:val="20"/>
          <w:szCs w:val="20"/>
          <w:u w:val="single"/>
        </w:rPr>
      </w:pPr>
    </w:p>
    <w:p w14:paraId="4DE2E38C" w14:textId="77777777" w:rsidR="002313CC" w:rsidRDefault="002313CC">
      <w:pPr>
        <w:rPr>
          <w:rStyle w:val="Textoennegrita"/>
          <w:rFonts w:ascii="Arial" w:hAnsi="Arial" w:cs="Arial"/>
          <w:color w:val="0000FF"/>
          <w:sz w:val="20"/>
          <w:szCs w:val="20"/>
          <w:u w:val="single"/>
        </w:rPr>
      </w:pPr>
    </w:p>
    <w:p w14:paraId="001DF54B" w14:textId="77777777" w:rsidR="002313CC" w:rsidRDefault="002313CC">
      <w:pPr>
        <w:rPr>
          <w:rStyle w:val="Textoennegrita"/>
          <w:rFonts w:ascii="Arial" w:hAnsi="Arial" w:cs="Arial"/>
          <w:color w:val="0000FF"/>
          <w:sz w:val="20"/>
          <w:szCs w:val="20"/>
          <w:u w:val="single"/>
        </w:rPr>
      </w:pPr>
    </w:p>
    <w:p w14:paraId="7E90F285" w14:textId="77777777" w:rsidR="002313CC" w:rsidRDefault="002313CC">
      <w:pPr>
        <w:rPr>
          <w:rStyle w:val="Textoennegrita"/>
          <w:rFonts w:ascii="Arial" w:hAnsi="Arial" w:cs="Arial"/>
          <w:color w:val="0000FF"/>
          <w:sz w:val="20"/>
          <w:szCs w:val="20"/>
          <w:u w:val="single"/>
        </w:rPr>
      </w:pPr>
    </w:p>
    <w:p w14:paraId="46F721AA" w14:textId="77777777" w:rsidR="002313CC" w:rsidRDefault="002313CC">
      <w:pPr>
        <w:rPr>
          <w:rStyle w:val="Textoennegrita"/>
          <w:rFonts w:ascii="Arial" w:hAnsi="Arial" w:cs="Arial"/>
          <w:color w:val="0000FF"/>
          <w:sz w:val="20"/>
          <w:szCs w:val="20"/>
          <w:u w:val="single"/>
        </w:rPr>
      </w:pPr>
    </w:p>
    <w:p w14:paraId="47A83024" w14:textId="5D62F5D4" w:rsidR="002313CC" w:rsidRPr="00D212B5" w:rsidRDefault="002313CC">
      <w:pPr>
        <w:rPr>
          <w:rFonts w:ascii="Arial" w:hAnsi="Arial" w:cs="Arial"/>
          <w:sz w:val="20"/>
          <w:szCs w:val="20"/>
        </w:rPr>
      </w:pPr>
    </w:p>
    <w:sectPr w:rsidR="002313CC" w:rsidRPr="00D212B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2B5"/>
    <w:rsid w:val="002313CC"/>
    <w:rsid w:val="00935231"/>
    <w:rsid w:val="009E3F0C"/>
    <w:rsid w:val="00D212B5"/>
    <w:rsid w:val="00E35E4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912452"/>
  <w15:chartTrackingRefBased/>
  <w15:docId w15:val="{CBBC340A-5161-40C4-BBAF-ED026CEAC2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C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D212B5"/>
    <w:rPr>
      <w:color w:val="0000FF"/>
      <w:u w:val="single"/>
    </w:rPr>
  </w:style>
  <w:style w:type="character" w:styleId="Textoennegrita">
    <w:name w:val="Strong"/>
    <w:basedOn w:val="Fuentedeprrafopredeter"/>
    <w:uiPriority w:val="22"/>
    <w:qFormat/>
    <w:rsid w:val="00D212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mfchile.cl.xn--ivg/" TargetMode="External"/><Relationship Id="rId5" Type="http://schemas.openxmlformats.org/officeDocument/2006/relationships/hyperlink" Target="http://www.suseso.cl" TargetMode="External"/><Relationship Id="rId4" Type="http://schemas.openxmlformats.org/officeDocument/2006/relationships/hyperlink" Target="http://www.losheroes.c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324</Words>
  <Characters>1785</Characters>
  <Application>Microsoft Office Word</Application>
  <DocSecurity>0</DocSecurity>
  <Lines>14</Lines>
  <Paragraphs>4</Paragraphs>
  <ScaleCrop>false</ScaleCrop>
  <Company/>
  <LinksUpToDate>false</LinksUpToDate>
  <CharactersWithSpaces>2105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Cristobal Andres Seguel Molina</dc:creator>
  <cp:keywords/>
  <dc:description/>
  <cp:lastModifiedBy>Cristobal Andres Seguel Molina</cp:lastModifiedBy>
  <cp:revision>2</cp:revision>
  <dcterms:created xsi:type="dcterms:W3CDTF">2025-02-24T19:53:00Z</dcterms:created>
  <dcterms:modified xsi:type="dcterms:W3CDTF">2025-02-24T20:11:00Z</dcterms:modified>
</cp:coreProperties>
</file>